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三峡科技本部竞聘报名表</w:t>
      </w:r>
    </w:p>
    <w:tbl>
      <w:tblPr>
        <w:tblStyle w:val="3"/>
        <w:tblW w:w="905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5"/>
        <w:gridCol w:w="1729"/>
        <w:gridCol w:w="2004"/>
        <w:gridCol w:w="996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职业(执业）资格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熟悉专业或特长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全日制学历及学位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在职教育学历或学位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现在单位（或部门）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职务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（岗位）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近三年考核结果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20</w:t>
            </w:r>
            <w:r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年:           20</w:t>
            </w:r>
            <w:r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年：             20</w:t>
            </w:r>
            <w:r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  <w:t>21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工作履历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主要工作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业绩及获奖情况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880" w:firstLineChars="200"/>
    </w:pPr>
    <w:rPr>
      <w:rFonts w:eastAsia="方正仿宋简体" w:asciiTheme="minorAscii" w:hAnsiTheme="minorAscii" w:cstheme="minorBidi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2022-06-01T02:56:32Z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